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406</w:t>
      </w:r>
    </w:p>
    <w:p>
      <w:r>
        <w:t>Bundesgericht (BGE), 2018-11-26, FR</w:t>
      </w:r>
    </w:p>
    <w:p>
      <w:r>
        <w:rPr>
          <w:b/>
        </w:rPr>
        <w:t xml:space="preserve">Quelle: </w:t>
      </w:r>
      <w:r>
        <w:t>https://mcp.opencaselaw.ch/entscheid/bge_144 II 406</w:t>
      </w:r>
    </w:p>
    <w:p>
      <w:r>
        <w:t>FR: ATF 144 II 406</w:t>
      </w:r>
    </w:p>
    <w:p>
      <w:r>
        <w:t>IT: DTF 144 II 406</w:t>
      </w:r>
    </w:p>
    <w:p>
      <w:pPr>
        <w:pStyle w:val="Heading2"/>
      </w:pPr>
      <w:r>
        <w:t>Regeste</w:t>
      </w:r>
    </w:p>
    <w:p>
      <w:r>
        <w:t>Regeste Art. 1 Abs. 1 und 3, Art. 2 lit. d und e OHG; Beweismass betreffend die Opfereigenschaft, wenn kein Strafverfahren eröffnet wurde. Bei der Beurteilung einer Entschädigung nach OHG ist das Beweismass für die Straftat bzw. die Opfereigenschaft i.S.v. Art. 1 Abs. 1 OHG dasjenige der überwiegenden Wahrscheinlichkeit (E. 3).</w:t>
      </w:r>
    </w:p>
    <w:p>
      <w:pPr>
        <w:pStyle w:val="Heading2"/>
      </w:pPr>
      <w:r>
        <w:t>Erwägungen</w:t>
      </w:r>
    </w:p>
    <w:p>
      <w:r>
        <w:rPr>
          <w:b/>
        </w:rPr>
        <w:t>E. 3</w:t>
      </w:r>
    </w:p>
    <w:p>
      <w:r>
        <w:t>Il est constant que les infractions alléguées par la recourante n'ont fait l'objet d'aucune procédure pénale. La cour cantonale a considéré que cela n'excluait pas en soi l'octroi d'une indemnisation au sens de la LAVI. Elle a précisé que, dans un tel cas de figure, la preuve de la qualité de victime devait atteindre le degré de la vraisemblance prépondérante au sens de la jurisprudence en matière d'assurances sociales. Dans le cas particulier, le Tribunal cantonal a toutefois jugé que ce degré de preuve n'était pas atteint; les seules déclarations de la recourante, même jugées crédibles et vraisemblables par des thérapeutes, étaient à cet égard insuffisantes. La recourante conteste cette appréciation. Elle se plaint à cet égard d'un établissement inexact des faits et d'arbitraire ainsi que d'une violation de différentes dispositions de la LAVI. Cela étant, avant de passer à l'analyse de ces griefs, il convient d'examiner si c'est à bon droit que le Tribunal cantonal a considéré que la réalisation d'une ou plusieurs infractions - et le statut de victime qui en découle - pouvait être établie au degré de la vraisemblance prépondérante, en l'absence de procédure pénale.</w:t>
      </w:r>
    </w:p>
    <w:p>
      <w:r>
        <w:rPr>
          <w:b/>
        </w:rPr>
        <w:t>E. 3.1</w:t>
      </w:r>
    </w:p>
    <w:p>
      <w:r>
        <w:t>Selon la jurisprudence, l'échec de la procédure pénale n'exclut pas nécessairement le droit à l'aide aux victimes telle que la définit l' art. 2 LAVI (cf. arrêt 1A.170/2001 du 18 février 2002 consid. 3.1; Conférence suisse des offices de liaison de la LAVI [CSOL-LAVI], BGE 144 II 406 S. 410 Recommandations du 21 janvier 2010, ch. 2.8.1 p. 15; STÉPHANIE CONVERSET, Aide aux victimes d'infractions et réparation du dommage, 2009, p. 326 in fine); l' art. 1 al. 3 LAVI précise du reste que ce droit existe, que l'auteur de l'infraction ait ou non été découvert (let. a), qu'il ait eu un comportement fautif ou non (let. b) ou qu'il ait agi intentionnellement ou par négligence (let. c). Le Tribunal fédéral a pour l'heure cependant laissé indécise la question de savoir si, dans un tel cas de figure, dans le cadre de l'examen de la demande d'indemnisation LAVI, la preuve de l'infraction, respectivement du statut de victime au sens de l' art. 1 al. 1 LAVI , était soumise à des exigences moins strictes qu'en procédure civile ou pénale (cf. ATF 122 II 211 consid. 3d in fine p. 216; ATF 125 II 265 consid. 2c/aa p. 270; arrêt 1B_278/2007 du 29 janvier 2008 consid. 3.1). D'un point de vue général, en matière civile et dans le domaine des assurances sociales notamment, lorsque par la nature même de l'affaire, une preuve stricte n'est pas possible ou ne peut être raisonnablement exigée ( Beweisnot ), le degré de preuve requis se limite à la vraisemblance prépondérante (cf. ATF 140 III 610 consid. 4.1 p. 612; arrêt 5A_113/2018 du 12 septembre 2018, destiné à la publication, consid. 6.2.2.1 et les arrêts cités, en particulier ATF 133 III 81 consid. 4.2.2-4.2.3 p. 88 s.; FABIENNE HOHL, Procédure civile, Tome I: introduction et théorie générale, 2016, n. 1884 ss; PRIBNOW/GUYAZ, Responsabilité civile: dommages corporels, La pratique de l'avocat, 2007, p. 374 s.; NGUYEN/DE QUATTRO PFEIFFER/PFEIFFER, La procédure administrative par la jurisprudence, 2015, n. 195 et les références, p. 128 s.; JELENA RINIKER, Opferrechte des Tatzeugen, 2011, p. 86). Dans le domaine de l'aide aux victimes, au regard de la nature juridique des prestations prévues par la LAVI - lesquelles englobent des éléments propres à la sécurité sociale (cf. PETER GOMM, in Kommentar zum Opferhilfegesetz, 3 e éd. 2009, n° 16 ad art. 29 LAVI ) -, la doctrine se prononce également en faveur de la vraisemblance prépondérante, telle que développée par la jurisprudence en matière d'assurances sociales, non seulement lorsqu'il s'agit d'établir le lien entre l'infraction et l'atteinte à la santé, mais également pour arrêter le statut de victime, en cas d'absence ou d'échec de la procédure pénale (cf. GOMM, op. cit., n os 16 s. ad art. 29 LAVI ; CONVERSET, op. cit., p. 326 s.; RINIKER, op. cit., p. 88). Cette opinion est également partagée par la CSOL-LAVI (cf. Recommandations précitées, BGE 144 II 406 S. 411 ch. 2.8.1 p. 14), de même que, plus récemment, par le Conseil fédéral (cf. Message du 4 décembre 2015 concernant l'initiative sur la réparation et son contre-projet indirect [loi fédérale sur les mesures de coercition à des fins d'assistance et les placements extrafamiliaux antérieurs à 1981], FF 2016 ch. 3.3 p. 112). Cette règle sur le degré de preuve exigé dans le cadre de la procédure LAVI doitainsi être confirmée, quand bien même elle pourrait avoir pour conséquence de soumettre la victime, dont les prétentions sont en premier lieu examinées dans le cadre de la procédure pénale, à des exigences plus strictes en matière de preuve, que celles auxquelles est soumis le demandeur renonçant à la participation ou à l'ouverture d'une procédure pénale (cf. GOMM, op. cit., n° 17 ad art. 29 LAVI ).</w:t>
      </w:r>
    </w:p>
    <w:p>
      <w:r>
        <w:rPr>
          <w:b/>
        </w:rPr>
        <w:t>E. 3.2</w:t>
      </w:r>
    </w:p>
    <w:p>
      <w:r>
        <w:t>Il s'ensuit que c'est à bon droit que le Tribunal cantonal a retenu que le statut de victime LAVI devait en l'occurrence être établi au degré de la vraisemblance prépondérante (pour la définition jurisprudentielle de cette notion, cf. ATF 140 III 610 consid. 4.1 p. 612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